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36" w:rsidRPr="00C41436" w:rsidRDefault="00C41436" w:rsidP="00C41436">
      <w:pPr>
        <w:spacing w:before="270"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de-DE"/>
        </w:rPr>
      </w:pPr>
      <w:r w:rsidRPr="00C41436">
        <w:rPr>
          <w:rFonts w:ascii="Arial" w:eastAsia="Times New Roman" w:hAnsi="Arial" w:cs="Arial"/>
          <w:b/>
          <w:bCs/>
          <w:kern w:val="36"/>
          <w:sz w:val="27"/>
          <w:szCs w:val="27"/>
          <w:lang w:eastAsia="de-DE"/>
        </w:rPr>
        <w:t>1. Grundlagenphase</w:t>
      </w:r>
    </w:p>
    <w:p w:rsidR="00C41436" w:rsidRPr="00C41436" w:rsidRDefault="00C41436" w:rsidP="00C41436">
      <w:pPr>
        <w:spacing w:after="0" w:line="240" w:lineRule="auto"/>
        <w:ind w:left="90" w:right="90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C41436">
        <w:rPr>
          <w:rFonts w:ascii="Arial" w:eastAsia="Times New Roman" w:hAnsi="Arial" w:cs="Arial"/>
          <w:sz w:val="18"/>
          <w:szCs w:val="18"/>
          <w:lang w:eastAsia="de-DE"/>
        </w:rPr>
        <w:t xml:space="preserve">Die ersten beiden Fachsemester bilden die Grundlagenphase, in der die </w:t>
      </w:r>
      <w:r w:rsidRPr="00C41436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mathematischen und wirtschaftswissenschaftlichen Grundlagen</w:t>
      </w:r>
      <w:r w:rsidRPr="00C41436">
        <w:rPr>
          <w:rFonts w:ascii="Arial" w:eastAsia="Times New Roman" w:hAnsi="Arial" w:cs="Arial"/>
          <w:sz w:val="18"/>
          <w:szCs w:val="18"/>
          <w:lang w:eastAsia="de-DE"/>
        </w:rPr>
        <w:t xml:space="preserve"> geschaffen werden. Bei allen Spezialisierungen müssen dieselben Pflichtveranstaltungen besucht werden.</w:t>
      </w:r>
    </w:p>
    <w:p w:rsidR="00202812" w:rsidRPr="00C41436" w:rsidRDefault="00202812"/>
    <w:tbl>
      <w:tblPr>
        <w:tblW w:w="8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5854"/>
        <w:gridCol w:w="851"/>
        <w:gridCol w:w="850"/>
      </w:tblGrid>
      <w:tr w:rsidR="00C41436" w:rsidRPr="00C41436" w:rsidTr="0048531C">
        <w:tc>
          <w:tcPr>
            <w:tcW w:w="108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Semester</w:t>
            </w:r>
            <w:r w:rsidRPr="00C41436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de-DE"/>
              </w:rPr>
              <w:t xml:space="preserve"> </w:t>
            </w:r>
          </w:p>
        </w:tc>
        <w:tc>
          <w:tcPr>
            <w:tcW w:w="585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Fach</w:t>
            </w:r>
            <w:r w:rsidRPr="00C41436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SWS</w:t>
            </w:r>
            <w:r w:rsidRPr="00C41436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de-DE"/>
              </w:rPr>
              <w:t>1</w:t>
            </w:r>
          </w:p>
        </w:tc>
        <w:tc>
          <w:tcPr>
            <w:tcW w:w="8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ECTS</w:t>
            </w:r>
            <w:r w:rsidRPr="00C41436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vertAlign w:val="superscript"/>
                <w:lang w:eastAsia="de-DE"/>
              </w:rPr>
              <w:t>2</w:t>
            </w:r>
          </w:p>
        </w:tc>
      </w:tr>
      <w:tr w:rsidR="00C41436" w:rsidRPr="00C41436" w:rsidTr="0048531C">
        <w:tc>
          <w:tcPr>
            <w:tcW w:w="1089" w:type="dxa"/>
            <w:vMerge w:val="restart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de-DE"/>
              </w:rPr>
              <w:t>1</w:t>
            </w:r>
          </w:p>
        </w:tc>
        <w:tc>
          <w:tcPr>
            <w:tcW w:w="585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Analysis I</w:t>
            </w:r>
          </w:p>
        </w:tc>
        <w:tc>
          <w:tcPr>
            <w:tcW w:w="85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4+2+2</w:t>
            </w:r>
          </w:p>
        </w:tc>
        <w:tc>
          <w:tcPr>
            <w:tcW w:w="8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C41436" w:rsidRPr="00C41436" w:rsidTr="0048531C">
        <w:tc>
          <w:tcPr>
            <w:tcW w:w="1089" w:type="dxa"/>
            <w:vMerge/>
            <w:tcBorders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85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Lineare Algebra I</w:t>
            </w:r>
          </w:p>
        </w:tc>
        <w:tc>
          <w:tcPr>
            <w:tcW w:w="85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4+2+2</w:t>
            </w:r>
          </w:p>
        </w:tc>
        <w:tc>
          <w:tcPr>
            <w:tcW w:w="8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9</w:t>
            </w:r>
          </w:p>
        </w:tc>
      </w:tr>
      <w:tr w:rsidR="00C41436" w:rsidRPr="00C41436" w:rsidTr="0048531C">
        <w:tc>
          <w:tcPr>
            <w:tcW w:w="1089" w:type="dxa"/>
            <w:vMerge/>
            <w:tcBorders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85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Produktion, Finanzwirtschaft oder Marketing</w:t>
            </w:r>
            <w:r w:rsidRPr="00D965B7"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vertAlign w:val="superscript"/>
                <w:lang w:eastAsia="de-DE"/>
              </w:rPr>
              <w:t>3</w:t>
            </w:r>
          </w:p>
        </w:tc>
        <w:tc>
          <w:tcPr>
            <w:tcW w:w="85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2+1</w:t>
            </w:r>
            <w:r w:rsidRPr="00C41436"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vertAlign w:val="superscript"/>
                <w:lang w:eastAsia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</w:t>
            </w:r>
            <w:r w:rsidRPr="00C41436"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vertAlign w:val="superscript"/>
                <w:lang w:eastAsia="de-DE"/>
              </w:rPr>
              <w:t xml:space="preserve"> </w:t>
            </w:r>
          </w:p>
        </w:tc>
      </w:tr>
      <w:tr w:rsidR="00C41436" w:rsidRPr="00C41436" w:rsidTr="0048531C">
        <w:tc>
          <w:tcPr>
            <w:tcW w:w="1089" w:type="dxa"/>
            <w:vMerge/>
            <w:tcBorders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85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Produktion, Finanzwirtschaft oder Marketing</w:t>
            </w:r>
            <w:r w:rsidRPr="00C41436"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vertAlign w:val="superscript"/>
                <w:lang w:eastAsia="de-DE"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2+1</w:t>
            </w:r>
            <w:r w:rsidRPr="00C41436"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vertAlign w:val="superscript"/>
                <w:lang w:eastAsia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6</w:t>
            </w:r>
            <w:r w:rsidRPr="00C41436">
              <w:rPr>
                <w:rFonts w:ascii="Arial" w:eastAsia="Times New Roman" w:hAnsi="Arial" w:cs="Arial"/>
                <w:sz w:val="12"/>
                <w:szCs w:val="12"/>
                <w:bdr w:val="none" w:sz="0" w:space="0" w:color="auto" w:frame="1"/>
                <w:vertAlign w:val="superscript"/>
                <w:lang w:eastAsia="de-DE"/>
              </w:rPr>
              <w:t xml:space="preserve"> </w:t>
            </w:r>
          </w:p>
        </w:tc>
      </w:tr>
      <w:tr w:rsidR="001B3D4E" w:rsidRPr="00C41436" w:rsidTr="0048531C">
        <w:tc>
          <w:tcPr>
            <w:tcW w:w="1089" w:type="dxa"/>
            <w:vMerge/>
            <w:tcBorders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D4E" w:rsidRPr="00C41436" w:rsidRDefault="001B3D4E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705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D4E" w:rsidRPr="00C41436" w:rsidRDefault="001B3D4E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i/>
                <w:iCs/>
                <w:sz w:val="18"/>
                <w:szCs w:val="18"/>
                <w:bdr w:val="none" w:sz="0" w:space="0" w:color="auto" w:frame="1"/>
                <w:lang w:eastAsia="de-DE"/>
              </w:rPr>
              <w:t>Gesamt</w:t>
            </w:r>
          </w:p>
        </w:tc>
        <w:tc>
          <w:tcPr>
            <w:tcW w:w="85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D4E" w:rsidRPr="00C41436" w:rsidRDefault="001B3D4E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i/>
                <w:iCs/>
                <w:sz w:val="18"/>
                <w:szCs w:val="18"/>
                <w:bdr w:val="none" w:sz="0" w:space="0" w:color="auto" w:frame="1"/>
                <w:lang w:eastAsia="de-DE"/>
              </w:rPr>
              <w:t>31</w:t>
            </w:r>
          </w:p>
        </w:tc>
      </w:tr>
      <w:tr w:rsidR="00C41436" w:rsidRPr="00C41436" w:rsidTr="0048531C">
        <w:tc>
          <w:tcPr>
            <w:tcW w:w="1089" w:type="dxa"/>
            <w:vMerge w:val="restart"/>
            <w:tcBorders>
              <w:top w:val="single" w:sz="4" w:space="0" w:color="auto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de-DE"/>
              </w:rPr>
              <w:t>2</w:t>
            </w:r>
          </w:p>
        </w:tc>
        <w:tc>
          <w:tcPr>
            <w:tcW w:w="585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Mikroökonomik A</w:t>
            </w:r>
          </w:p>
        </w:tc>
        <w:tc>
          <w:tcPr>
            <w:tcW w:w="85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4+2</w:t>
            </w:r>
          </w:p>
        </w:tc>
        <w:tc>
          <w:tcPr>
            <w:tcW w:w="8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</w:t>
            </w:r>
          </w:p>
        </w:tc>
      </w:tr>
      <w:tr w:rsidR="00C41436" w:rsidRPr="00C41436" w:rsidTr="0048531C">
        <w:tc>
          <w:tcPr>
            <w:tcW w:w="1089" w:type="dxa"/>
            <w:vMerge/>
            <w:tcBorders>
              <w:top w:val="single" w:sz="4" w:space="0" w:color="auto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85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Makroökonomik A</w:t>
            </w:r>
          </w:p>
        </w:tc>
        <w:tc>
          <w:tcPr>
            <w:tcW w:w="85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4+2</w:t>
            </w:r>
          </w:p>
        </w:tc>
        <w:tc>
          <w:tcPr>
            <w:tcW w:w="8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8</w:t>
            </w:r>
          </w:p>
        </w:tc>
      </w:tr>
      <w:tr w:rsidR="00C41436" w:rsidRPr="00C41436" w:rsidTr="0048531C">
        <w:tc>
          <w:tcPr>
            <w:tcW w:w="1089" w:type="dxa"/>
            <w:vMerge/>
            <w:tcBorders>
              <w:top w:val="single" w:sz="4" w:space="0" w:color="auto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85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Analysis II</w:t>
            </w:r>
          </w:p>
        </w:tc>
        <w:tc>
          <w:tcPr>
            <w:tcW w:w="85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4+2+2</w:t>
            </w:r>
          </w:p>
        </w:tc>
        <w:tc>
          <w:tcPr>
            <w:tcW w:w="8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10</w:t>
            </w:r>
          </w:p>
        </w:tc>
      </w:tr>
      <w:tr w:rsidR="00C41436" w:rsidRPr="00C41436" w:rsidTr="0048531C">
        <w:tc>
          <w:tcPr>
            <w:tcW w:w="1089" w:type="dxa"/>
            <w:vMerge/>
            <w:tcBorders>
              <w:top w:val="single" w:sz="4" w:space="0" w:color="auto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585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Lineare Algebra II/A</w:t>
            </w:r>
          </w:p>
        </w:tc>
        <w:tc>
          <w:tcPr>
            <w:tcW w:w="851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2+1+1</w:t>
            </w:r>
          </w:p>
        </w:tc>
        <w:tc>
          <w:tcPr>
            <w:tcW w:w="8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1436" w:rsidRPr="00C41436" w:rsidRDefault="00C41436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4</w:t>
            </w:r>
          </w:p>
        </w:tc>
      </w:tr>
      <w:tr w:rsidR="001B3D4E" w:rsidRPr="00C41436" w:rsidTr="0048531C">
        <w:tc>
          <w:tcPr>
            <w:tcW w:w="1089" w:type="dxa"/>
            <w:vMerge/>
            <w:tcBorders>
              <w:top w:val="single" w:sz="4" w:space="0" w:color="auto"/>
              <w:left w:val="single" w:sz="2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D4E" w:rsidRPr="00C41436" w:rsidRDefault="001B3D4E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705" w:type="dxa"/>
            <w:gridSpan w:val="2"/>
            <w:tcBorders>
              <w:top w:val="single" w:sz="2" w:space="0" w:color="333333"/>
              <w:left w:val="single" w:sz="4" w:space="0" w:color="auto"/>
              <w:bottom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D4E" w:rsidRPr="00C41436" w:rsidRDefault="001B3D4E" w:rsidP="001B3D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i/>
                <w:iCs/>
                <w:sz w:val="18"/>
                <w:szCs w:val="18"/>
                <w:bdr w:val="none" w:sz="0" w:space="0" w:color="auto" w:frame="1"/>
                <w:lang w:eastAsia="de-DE"/>
              </w:rPr>
              <w:t>Gesamt</w:t>
            </w:r>
          </w:p>
        </w:tc>
        <w:tc>
          <w:tcPr>
            <w:tcW w:w="85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D4E" w:rsidRPr="00C41436" w:rsidRDefault="001B3D4E" w:rsidP="00C414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41436">
              <w:rPr>
                <w:rFonts w:ascii="Arial" w:eastAsia="Times New Roman" w:hAnsi="Arial" w:cs="Arial"/>
                <w:i/>
                <w:iCs/>
                <w:sz w:val="18"/>
                <w:szCs w:val="18"/>
                <w:bdr w:val="none" w:sz="0" w:space="0" w:color="auto" w:frame="1"/>
                <w:lang w:eastAsia="de-DE"/>
              </w:rPr>
              <w:t>30</w:t>
            </w:r>
          </w:p>
        </w:tc>
      </w:tr>
    </w:tbl>
    <w:p w:rsidR="00C41436" w:rsidRPr="00C41436" w:rsidRDefault="00C41436" w:rsidP="00C41436">
      <w:pPr>
        <w:spacing w:after="0" w:line="240" w:lineRule="auto"/>
        <w:ind w:left="90" w:right="90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C41436">
        <w:rPr>
          <w:rFonts w:ascii="Arial" w:eastAsia="Times New Roman" w:hAnsi="Arial" w:cs="Arial"/>
          <w:sz w:val="18"/>
          <w:szCs w:val="18"/>
          <w:vertAlign w:val="superscript"/>
          <w:lang w:eastAsia="de-DE"/>
        </w:rPr>
        <w:t xml:space="preserve">1 </w:t>
      </w:r>
      <w:r w:rsidRPr="00C41436">
        <w:rPr>
          <w:rFonts w:ascii="Arial" w:eastAsia="Times New Roman" w:hAnsi="Arial" w:cs="Arial"/>
          <w:sz w:val="18"/>
          <w:szCs w:val="18"/>
          <w:lang w:eastAsia="de-DE"/>
        </w:rPr>
        <w:t xml:space="preserve">Semesterwochenstunden (Vorlesung+Übung: Als Semesterwochenstunde gilt eine Stunde, die während der gesamten Vorlesungszeit jede Woche besucht wird. Mit dem Besuch einer zweistündigen Vorlesung werden so 2 SWS abgedeckt.) </w:t>
      </w:r>
    </w:p>
    <w:p w:rsidR="00C41436" w:rsidRPr="00C41436" w:rsidRDefault="00D965B7" w:rsidP="00C41436">
      <w:pPr>
        <w:spacing w:after="0" w:line="240" w:lineRule="auto"/>
        <w:ind w:left="90" w:right="90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D965B7">
        <w:rPr>
          <w:rFonts w:ascii="Arial" w:eastAsia="Times New Roman" w:hAnsi="Arial" w:cs="Arial"/>
          <w:sz w:val="18"/>
          <w:szCs w:val="18"/>
          <w:vertAlign w:val="superscript"/>
          <w:lang w:eastAsia="de-DE"/>
        </w:rPr>
        <w:t>2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="00C41436" w:rsidRPr="00C41436">
        <w:rPr>
          <w:rFonts w:ascii="Arial" w:eastAsia="Times New Roman" w:hAnsi="Arial" w:cs="Arial"/>
          <w:sz w:val="18"/>
          <w:szCs w:val="18"/>
          <w:lang w:eastAsia="de-DE"/>
        </w:rPr>
        <w:t xml:space="preserve">European Credit Transfer System (ECTS ist ein europaweit anerkanntes System zur Anrechnung, Übertragung und Akkumulierung von Studienleistungen. Ein ECTS Credit Point entspricht einem studentischen Arbeitsaufwand von 25 - 30 Stunden.) </w:t>
      </w:r>
    </w:p>
    <w:p w:rsidR="00C41436" w:rsidRPr="00C41436" w:rsidRDefault="00D965B7" w:rsidP="00C41436">
      <w:pPr>
        <w:spacing w:after="0" w:line="240" w:lineRule="auto"/>
        <w:ind w:left="90" w:right="90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D965B7">
        <w:rPr>
          <w:rFonts w:ascii="Arial" w:eastAsia="Times New Roman" w:hAnsi="Arial" w:cs="Arial"/>
          <w:sz w:val="18"/>
          <w:szCs w:val="18"/>
          <w:vertAlign w:val="superscript"/>
          <w:lang w:eastAsia="de-DE"/>
        </w:rPr>
        <w:t>3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P</w:t>
      </w:r>
      <w:r w:rsidR="00C41436" w:rsidRPr="00C41436">
        <w:rPr>
          <w:rFonts w:ascii="Arial" w:eastAsia="Times New Roman" w:hAnsi="Arial" w:cs="Arial"/>
          <w:sz w:val="18"/>
          <w:szCs w:val="18"/>
          <w:lang w:eastAsia="de-DE"/>
        </w:rPr>
        <w:t>roduktion, Finanzwirtschaft oder Marketing. Empfehlung: Produktion und Finanzwirtschaft.</w:t>
      </w:r>
    </w:p>
    <w:p w:rsidR="00C41436" w:rsidRDefault="00C41436"/>
    <w:sectPr w:rsidR="00C414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D4E" w:rsidRDefault="001B3D4E" w:rsidP="001B3D4E">
      <w:pPr>
        <w:spacing w:after="0" w:line="240" w:lineRule="auto"/>
      </w:pPr>
      <w:r>
        <w:separator/>
      </w:r>
    </w:p>
  </w:endnote>
  <w:endnote w:type="continuationSeparator" w:id="0">
    <w:p w:rsidR="001B3D4E" w:rsidRDefault="001B3D4E" w:rsidP="001B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D4E" w:rsidRDefault="001B3D4E" w:rsidP="001B3D4E">
      <w:pPr>
        <w:spacing w:after="0" w:line="240" w:lineRule="auto"/>
      </w:pPr>
      <w:r>
        <w:separator/>
      </w:r>
    </w:p>
  </w:footnote>
  <w:footnote w:type="continuationSeparator" w:id="0">
    <w:p w:rsidR="001B3D4E" w:rsidRDefault="001B3D4E" w:rsidP="001B3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EF"/>
    <w:rsid w:val="001B3D4E"/>
    <w:rsid w:val="00202812"/>
    <w:rsid w:val="0048531C"/>
    <w:rsid w:val="005816DE"/>
    <w:rsid w:val="00820F6A"/>
    <w:rsid w:val="00B44AEF"/>
    <w:rsid w:val="00C41436"/>
    <w:rsid w:val="00D9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FF2C"/>
  <w15:chartTrackingRefBased/>
  <w15:docId w15:val="{FD6A6A19-D79B-4DCD-B8B9-776BDBBE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1B3D4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B3D4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B3D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2DA5-1B83-4C63-BFE2-305D2B24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1. Grundlagenphase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skobbe</dc:creator>
  <cp:keywords/>
  <dc:description/>
  <cp:lastModifiedBy>skobbe</cp:lastModifiedBy>
  <cp:revision>4</cp:revision>
  <dcterms:created xsi:type="dcterms:W3CDTF">2018-12-10T11:37:00Z</dcterms:created>
  <dcterms:modified xsi:type="dcterms:W3CDTF">2018-12-10T12:07:00Z</dcterms:modified>
</cp:coreProperties>
</file>